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4B4CB4">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A74224">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枣庄市口腔</w:t>
      </w:r>
      <w:r w:rsidR="00BC352F">
        <w:rPr>
          <w:rFonts w:ascii="方正小标宋简体" w:eastAsia="方正小标宋简体" w:hAnsi="方正小标宋简体" w:cs="方正小标宋简体" w:hint="eastAsia"/>
          <w:sz w:val="44"/>
          <w:szCs w:val="44"/>
        </w:rPr>
        <w:t>医院</w:t>
      </w:r>
    </w:p>
    <w:p w:rsidR="008B58BE" w:rsidRDefault="004B4CB4">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2022年度服务高质量发展绩效考核工作任务要点</w:t>
      </w:r>
    </w:p>
    <w:bookmarkEnd w:id="0"/>
    <w:p w:rsidR="008B58BE" w:rsidRDefault="004B4CB4">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                                                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0D1458" w:rsidTr="003C70D6">
        <w:trPr>
          <w:trHeight w:val="342"/>
        </w:trPr>
        <w:tc>
          <w:tcPr>
            <w:tcW w:w="166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围绕中心履职尽责（700分）</w:t>
            </w:r>
          </w:p>
        </w:tc>
        <w:tc>
          <w:tcPr>
            <w:tcW w:w="1669" w:type="dxa"/>
            <w:vMerge w:val="restart"/>
            <w:tcBorders>
              <w:top w:val="single" w:sz="4" w:space="0" w:color="auto"/>
              <w:left w:val="single" w:sz="4" w:space="0" w:color="auto"/>
              <w:right w:val="single" w:sz="4" w:space="0" w:color="auto"/>
              <w:tl2br w:val="nil"/>
              <w:tr2bl w:val="nil"/>
            </w:tcBorders>
            <w:noWrap/>
            <w:vAlign w:val="center"/>
          </w:tcPr>
          <w:p w:rsidR="000D1458" w:rsidRDefault="000D1458" w:rsidP="003C70D6">
            <w:pPr>
              <w:ind w:left="1" w:hanging="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重点（职能）工作（680分）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全面推动公立医院高</w:t>
            </w:r>
            <w:r>
              <w:rPr>
                <w:rFonts w:ascii="仿宋_GB2312" w:eastAsia="仿宋_GB2312" w:hint="eastAsia"/>
                <w:sz w:val="22"/>
                <w:szCs w:val="22"/>
              </w:rPr>
              <w:lastRenderedPageBreak/>
              <w:t>质量发展</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lastRenderedPageBreak/>
              <w:t>结合实际制定公立医院高质量发展实施方案，抓好《推进公立医院高质量</w:t>
            </w:r>
            <w:r>
              <w:rPr>
                <w:rFonts w:ascii="仿宋_GB2312" w:eastAsia="仿宋_GB2312" w:hint="eastAsia"/>
                <w:sz w:val="22"/>
                <w:szCs w:val="22"/>
              </w:rPr>
              <w:lastRenderedPageBreak/>
              <w:t>发展评价指标（试行）》落实，确保各项指标逐步优化。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lastRenderedPageBreak/>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加快推进智慧医院建设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1、推进电子病历、智慧服务、智慧管理“三位一体”的智慧医院建设，2022年底，电子病历应用水平达到3级，智慧服务力争达到2级，智慧管理力争达到1级。</w:t>
            </w:r>
            <w:r>
              <w:rPr>
                <w:rFonts w:ascii="仿宋_GB2312" w:eastAsia="仿宋_GB2312" w:hint="eastAsia"/>
                <w:sz w:val="22"/>
                <w:szCs w:val="22"/>
              </w:rPr>
              <w:br/>
              <w:t>2、按照《医院智慧服务十条措施（2022年）》要求，按时限完成相应目标任务。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落实疫情防控要求，严防院感事件发生</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1、按要求健全完善院内感控管理机制，配齐配强院感专（兼）职人员,强化全员感控知识、技能培训；</w:t>
            </w:r>
            <w:r>
              <w:rPr>
                <w:rFonts w:ascii="仿宋_GB2312" w:eastAsia="仿宋_GB2312" w:hint="eastAsia"/>
                <w:sz w:val="22"/>
                <w:szCs w:val="22"/>
              </w:rPr>
              <w:br/>
              <w:t>2、严格落实院感四级巡查、四项机制，强化院内管理，主要负责人每月召开会议专题研究解决实际问题，按时上报有关工作信息；</w:t>
            </w:r>
            <w:r>
              <w:rPr>
                <w:rFonts w:ascii="仿宋_GB2312" w:eastAsia="仿宋_GB2312" w:hint="eastAsia"/>
                <w:sz w:val="22"/>
                <w:szCs w:val="22"/>
              </w:rPr>
              <w:br/>
              <w:t>3、完成各类支援等政府指令性疫情防控任务。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积极创建老年友善医疗机构</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加强为老志愿服务、优化老年就医服务流程、改善老年患者就医环境。</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做好新冠肺炎疫情防控工作。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严格落实新冠疫情防控措施，落实疫情信息报告和应检尽检制度信息报告及时准确，应检尽检率达到100%。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开展“老年健康宣传周”和“敬老月”活动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按照下发方案要求，认真开展系列活动，达到活动目的。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1、按时完成预决算上报；</w:t>
            </w:r>
            <w:r>
              <w:rPr>
                <w:rFonts w:ascii="仿宋_GB2312" w:eastAsia="仿宋_GB2312" w:hint="eastAsia"/>
                <w:sz w:val="22"/>
                <w:szCs w:val="22"/>
              </w:rPr>
              <w:br/>
              <w:t>2、按要求对预决算情况进行公开；</w:t>
            </w:r>
            <w:r>
              <w:rPr>
                <w:rFonts w:ascii="仿宋_GB2312" w:eastAsia="仿宋_GB2312" w:hint="eastAsia"/>
                <w:sz w:val="22"/>
                <w:szCs w:val="22"/>
              </w:rPr>
              <w:br/>
              <w:t>3、对预算绩效目标开展自评；</w:t>
            </w:r>
            <w:r>
              <w:rPr>
                <w:rFonts w:ascii="仿宋_GB2312" w:eastAsia="仿宋_GB2312" w:hint="eastAsia"/>
                <w:sz w:val="22"/>
                <w:szCs w:val="22"/>
              </w:rPr>
              <w:br/>
              <w:t>4、资金规模大、社会关注度高的项目开展重点评价；</w:t>
            </w:r>
            <w:r>
              <w:rPr>
                <w:rFonts w:ascii="仿宋_GB2312" w:eastAsia="仿宋_GB2312" w:hint="eastAsia"/>
                <w:sz w:val="22"/>
                <w:szCs w:val="22"/>
              </w:rPr>
              <w:b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离退休干部信息统计上报工作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完整及时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加强意识形态工作情况，强化新闻舆论引导情况，深入开展精神文明建设，扎实推动宣传思想工作守正创新。</w:t>
            </w:r>
            <w:r>
              <w:rPr>
                <w:rFonts w:ascii="仿宋_GB2312" w:eastAsia="仿宋_GB2312" w:hint="eastAsia"/>
                <w:sz w:val="22"/>
                <w:szCs w:val="22"/>
              </w:rPr>
              <w:br/>
              <w:t>履行全面从严治党责任，加强政治建设，提高政治判断力、政治领悟力、政治执行力；重视和加强统一战线工作。</w:t>
            </w:r>
            <w:r>
              <w:rPr>
                <w:rFonts w:ascii="仿宋_GB2312" w:eastAsia="仿宋_GB2312" w:hint="eastAsia"/>
                <w:sz w:val="22"/>
                <w:szCs w:val="22"/>
              </w:rPr>
              <w:br/>
              <w:t>履行抓基层党建主体责任，加强院党委、纪委建设情况，贯彻落实《中国共产党党和国家机关基层组织工作条例》，实施党支部标准化规范化建设提升工程。</w:t>
            </w:r>
            <w:r>
              <w:rPr>
                <w:rFonts w:ascii="仿宋_GB2312" w:eastAsia="仿宋_GB2312" w:hint="eastAsia"/>
                <w:sz w:val="22"/>
                <w:szCs w:val="22"/>
              </w:rPr>
              <w:b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60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深化医药卫生体制改革，健全完善医联体建设，积极推进分级诊疗</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1、充分发挥牵头作用，健全完善医疗体建设，以优质医疗资源深入基层为主线，加强与成员单位的紧密协作，健全双向转诊机制，完善分级诊疗服务体系；</w:t>
            </w:r>
            <w:r>
              <w:rPr>
                <w:rFonts w:ascii="仿宋_GB2312" w:eastAsia="仿宋_GB2312" w:hint="eastAsia"/>
                <w:sz w:val="22"/>
                <w:szCs w:val="22"/>
              </w:rPr>
              <w:br/>
              <w:t>2、充分发挥市级临床重点专科优势，加强专科联盟建设与管理，明确成员单位功能定位，加强交流、合作，推进专科与专病的内涵建设；</w:t>
            </w:r>
            <w:r>
              <w:rPr>
                <w:rFonts w:ascii="仿宋_GB2312" w:eastAsia="仿宋_GB2312" w:hint="eastAsia"/>
                <w:sz w:val="22"/>
                <w:szCs w:val="22"/>
              </w:rPr>
              <w:br/>
              <w:t>3、加强监管，认真开展对口支援工作；</w:t>
            </w:r>
            <w:r>
              <w:rPr>
                <w:rFonts w:ascii="仿宋_GB2312" w:eastAsia="仿宋_GB2312" w:hint="eastAsia"/>
                <w:sz w:val="22"/>
                <w:szCs w:val="22"/>
              </w:rPr>
              <w:br/>
              <w:t>4、持续优化“公立医院综合改革监测系统”监测指标落实，按要求完成季度监测数据上报，强化医改成果宣传。</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提升医疗质量管理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医疗质量指标：（1）手术前后诊断符合率≥90%；（2）医院感染率≤8%；（3）医院感染漏报率≤10%；（4）医疗仪器设备完好率≥95%；（5）完成指令性任务100%；（6）门诊牙病治愈好转率≥95%；（7）缺牙修复合格率≥95%；（8）正牙优良率≥95%；（9）一次性医疗用品用后毁形率100%；（10）口腔卫生保健知识宣教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加强护理质量管理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护理质量指标(1)护士长手册使用率达100%；(2)基础护理合格率≥95%；(3)护理文书书写合格率≥98%；(4)护理三基训练合格率100%；(5)护理技术操</w:t>
            </w:r>
            <w:r>
              <w:rPr>
                <w:rFonts w:ascii="仿宋_GB2312" w:eastAsia="仿宋_GB2312" w:hint="eastAsia"/>
                <w:sz w:val="22"/>
                <w:szCs w:val="22"/>
              </w:rPr>
              <w:lastRenderedPageBreak/>
              <w:t>作合格率100%。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lastRenderedPageBreak/>
              <w:t>30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加强重点专科建设与管理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健全完善现有市级临床重点专科的投入与管理，积极争创新的省市级临床重点专科，形成专科可持续发展机制：（1）制定差异化发展措施，在建设资金投入、人才引进培养、硬件设施提升等方面给予保障、倾斜；（2）定期召开专题会议部署调研专科建设推进情况，促进临专科能力提升、临床技术创新性研究和成果转化；（3）加强人才队伍建设，定期组织人员进行外出学习，加强与上级医院的沟通协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加强质控中心管理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1.加强对挂靠在本院的质控中心的管理，保障开展工作所必需的人员经费、日常工作经费、设备设施和工作场所等。</w:t>
            </w:r>
            <w:r>
              <w:rPr>
                <w:rFonts w:ascii="仿宋_GB2312" w:eastAsia="仿宋_GB2312" w:hint="eastAsia"/>
                <w:sz w:val="22"/>
                <w:szCs w:val="22"/>
              </w:rPr>
              <w:br/>
              <w:t>2.督促本院质控中心认真履行职责，组织开展质控活动并不少于2次/年，全面掌握本专业基本情况，采取有效措施抓好质量提升，促进本专业诊疗规范化、同质化；</w:t>
            </w:r>
            <w:r>
              <w:rPr>
                <w:rFonts w:ascii="仿宋_GB2312" w:eastAsia="仿宋_GB2312" w:hint="eastAsia"/>
                <w:sz w:val="22"/>
                <w:szCs w:val="22"/>
              </w:rPr>
              <w:br/>
              <w:t>3、及时报送质控工作开展情况，每年12月底前报送年度工作总结和下年度工作计划。</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持续改善医疗服务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积极推动建立患者综合服务中心（窗口），推进健康管理、健康教育、疾病预防、预约诊疗、门诊和住院等一体化服务。建立健全预约诊疗、远程医疗、临床路径管理、检查检验结果互认、医务社工和志愿者、多学科诊疗、日间医疗服务、合理用药管理、优质护理服务、满意度管理等医疗服务领域十项制度。</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深入开展“平安医院”建设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1、安防系统建设达标率100%。2、安检覆盖率100%。3、按年度参加医疗责任保险。4、设置警务室，安装一键式报警。5、严格落实《医疗机构投诉管理办法》要求，做好医疗投诉和医患纠纷调处，医患纠纷无越级、重复上访事件发生，医疗纠纷人民调解比率</w:t>
            </w:r>
            <w:r>
              <w:rPr>
                <w:rFonts w:ascii="宋体" w:hAnsi="宋体" w:cs="宋体" w:hint="eastAsia"/>
                <w:sz w:val="22"/>
                <w:szCs w:val="22"/>
              </w:rPr>
              <w:t>≧</w:t>
            </w:r>
            <w:r>
              <w:rPr>
                <w:rFonts w:ascii="仿宋_GB2312" w:eastAsia="仿宋_GB2312" w:hint="eastAsia"/>
                <w:sz w:val="22"/>
                <w:szCs w:val="22"/>
              </w:rPr>
              <w:t>60%。</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加强行业作风建设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1、深入开展行业作风常态化宣传教育，制定全员学习培训计划，每月至少安排1次专题学习，重点岗位重点教育；</w:t>
            </w:r>
            <w:r>
              <w:rPr>
                <w:rFonts w:ascii="仿宋_GB2312" w:eastAsia="仿宋_GB2312" w:hint="eastAsia"/>
                <w:sz w:val="22"/>
                <w:szCs w:val="22"/>
              </w:rPr>
              <w:br/>
              <w:t>2、按要求认真组织开展医疗机构及其工作人员廉洁从业专项行动、不合理</w:t>
            </w:r>
            <w:r>
              <w:rPr>
                <w:rFonts w:ascii="仿宋_GB2312" w:eastAsia="仿宋_GB2312" w:hint="eastAsia"/>
                <w:sz w:val="22"/>
                <w:szCs w:val="22"/>
              </w:rPr>
              <w:lastRenderedPageBreak/>
              <w:t>医疗检查深入治理专项行动、医疗卫生领域商业贿赂专项治理等活动，倡树风清气正的行业作风。</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lastRenderedPageBreak/>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认真开展法定传染病防治，做好卫生应急工作。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法定传染病登记报告率100%，报告合格率≥95%，漏报率≤0.5%；落实预检分诊制度，依法采取消毒隔离措施；肺结核登记报告率100%，肺结核转诊率100%；术前艾滋病抗体筛查率≥95%；院内死亡病人死因监测报告率100%；明确疾病预防控制和卫生应急管理科室、人员及其职责；制定完善应急预案和技术方案，年内组织1-2次专项演练；设立专门应急物资储备库，制度健全，管理有序。</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重点学科建设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建立健全重点学科建设管理制度，制定重点学科建设的发展规划，有明确的后备学科带头人和学科建设梯队</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继续医学教育</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卫生专业技术人员继续医学教育培训率100%，年度任期考核合格率95%以上。争取新增国家级继续医学教育培训项目1-2项。按照要求，规范举办各级继续医学教育项目工作。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人才培养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年内选派中青年业务骨干外出进修学习不少于10人次。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宣传教育、健康素养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严格落实意识形态工作责任制，充分发挥宣传工作的先行先导作用，强化组织、队伍、制度和载体建设，围绕中心工作开展理论宣传、社会宣传和新闻宣传，弘扬社会主义核心价值观，提高干部职工道德素质，增强卫生文化软实力；加强与主流媒体联系并借助门户网站及官方微博、微信等新媒体，强化舆情研判引导，及时回应社会关切，积极营造有利于卫生健康事业改革与发展的良好社会环境和舆论氛围，年内在省级以上各类媒体进行宣传不少于40次；深入开展科普专家走基层活动，广泛普及健康知识和技能，提高职工、群众的自我保健意识和能力,推动健康枣庄和健康促进工作取得新突破。</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20</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强化对基层医疗机构的指导帮扶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加强对基层医疗卫生机构帮扶力度，按要求选派业务院长、建立名医基层工作站，加强选派人员管理，强化综合扶持措施，提升帮扶工作成效。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15</w:t>
            </w:r>
          </w:p>
        </w:tc>
      </w:tr>
      <w:tr w:rsidR="000D1458" w:rsidTr="003C70D6">
        <w:trPr>
          <w:trHeight w:val="498"/>
        </w:trPr>
        <w:tc>
          <w:tcPr>
            <w:tcW w:w="1668" w:type="dxa"/>
            <w:vMerge/>
            <w:tcBorders>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5</w:t>
            </w:r>
          </w:p>
        </w:tc>
      </w:tr>
      <w:tr w:rsidR="000D1458"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val="restart"/>
            <w:tcBorders>
              <w:top w:val="single" w:sz="4" w:space="0" w:color="auto"/>
              <w:left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专项考核（20分）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r w:rsidR="000D1458" w:rsidTr="003C70D6">
        <w:trPr>
          <w:trHeight w:val="37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auto"/>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开展新医药产业链招商引资工作</w:t>
            </w:r>
          </w:p>
        </w:tc>
        <w:tc>
          <w:tcPr>
            <w:tcW w:w="6954" w:type="dxa"/>
            <w:tcBorders>
              <w:top w:val="single" w:sz="4" w:space="0" w:color="000000"/>
              <w:left w:val="single" w:sz="4" w:space="0" w:color="auto"/>
              <w:bottom w:val="single" w:sz="4" w:space="0" w:color="auto"/>
              <w:right w:val="single" w:sz="4" w:space="0" w:color="auto"/>
              <w:tl2br w:val="nil"/>
              <w:tr2bl w:val="nil"/>
            </w:tcBorders>
            <w:noWrap/>
            <w:vAlign w:val="center"/>
          </w:tcPr>
          <w:p w:rsidR="000D1458" w:rsidRDefault="000D1458">
            <w:pPr>
              <w:rPr>
                <w:rFonts w:ascii="仿宋_GB2312" w:eastAsia="仿宋_GB2312" w:hAnsi="宋体" w:cs="宋体"/>
                <w:sz w:val="22"/>
                <w:szCs w:val="22"/>
              </w:rPr>
            </w:pPr>
            <w:r>
              <w:rPr>
                <w:rFonts w:ascii="仿宋_GB2312" w:eastAsia="仿宋_GB2312" w:hint="eastAsia"/>
                <w:sz w:val="22"/>
                <w:szCs w:val="22"/>
              </w:rPr>
              <w:t>提供有效招商线索，并于年内签约开工的进行加分；提供招商线索的，视推动进度酌情加分。”更正为“提供有效招商线索，推进项目签约、开工。完成1个亿元以上项目签约、开工得满分；未开工的，按签约项目规模、数量按比例得分；未签约未开工的，仅提供招商线索的，视项目推动进度酌情得分。</w:t>
            </w:r>
          </w:p>
        </w:tc>
        <w:tc>
          <w:tcPr>
            <w:tcW w:w="1473" w:type="dxa"/>
            <w:tcBorders>
              <w:top w:val="single" w:sz="4" w:space="0" w:color="000000"/>
              <w:left w:val="single" w:sz="4" w:space="0" w:color="auto"/>
              <w:bottom w:val="single" w:sz="4" w:space="0" w:color="auto"/>
              <w:right w:val="single" w:sz="4" w:space="0" w:color="auto"/>
              <w:tl2br w:val="nil"/>
              <w:tr2bl w:val="nil"/>
            </w:tcBorders>
            <w:noWrap/>
            <w:vAlign w:val="center"/>
          </w:tcPr>
          <w:p w:rsidR="000D1458" w:rsidRDefault="000D1458">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4B4CB4">
      <w:r>
        <w:rPr>
          <w:rFonts w:ascii="仿宋_GB2312" w:eastAsia="仿宋_GB2312" w:hAnsi="仿宋_GB2312" w:cs="仿宋_GB2312" w:hint="eastAsia"/>
          <w:sz w:val="32"/>
          <w:szCs w:val="32"/>
        </w:rPr>
        <w:t>填报人：                                                     联系电话：</w:t>
      </w:r>
    </w:p>
    <w:sectPr w:rsidR="008B58BE" w:rsidSect="008B58BE">
      <w:headerReference w:type="default" r:id="rId7"/>
      <w:footerReference w:type="default" r:id="rId8"/>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DD" w:rsidRDefault="009E0EDD" w:rsidP="008B58BE">
      <w:r>
        <w:separator/>
      </w:r>
    </w:p>
  </w:endnote>
  <w:endnote w:type="continuationSeparator" w:id="1">
    <w:p w:rsidR="009E0EDD" w:rsidRDefault="009E0EDD"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9E0EDD">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9E0EDD">
                <w:pPr>
                  <w:pStyle w:val="a3"/>
                </w:pPr>
                <w:r>
                  <w:fldChar w:fldCharType="begin"/>
                </w:r>
                <w:r w:rsidR="004B4CB4">
                  <w:instrText xml:space="preserve"> PAGE  \* MERGEFORMAT </w:instrText>
                </w:r>
                <w:r>
                  <w:fldChar w:fldCharType="separate"/>
                </w:r>
                <w:r w:rsidR="00A74224">
                  <w:rPr>
                    <w:noProof/>
                  </w:rPr>
                  <w:t>1</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DD" w:rsidRDefault="009E0EDD" w:rsidP="008B58BE">
      <w:r>
        <w:separator/>
      </w:r>
    </w:p>
  </w:footnote>
  <w:footnote w:type="continuationSeparator" w:id="1">
    <w:p w:rsidR="009E0EDD" w:rsidRDefault="009E0EDD"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00CF2382"/>
    <w:rsid w:val="6EAE066C"/>
    <w:rsid w:val="A9EA46B1"/>
    <w:rsid w:val="BBCFA6D9"/>
    <w:rsid w:val="CFFE3DC0"/>
    <w:rsid w:val="DEAE6B2B"/>
    <w:rsid w:val="E3B7CF5A"/>
    <w:rsid w:val="EDFF63C0"/>
    <w:rsid w:val="F57B59E6"/>
    <w:rsid w:val="F7BF75AA"/>
    <w:rsid w:val="FBD20814"/>
    <w:rsid w:val="FF6F1EDD"/>
    <w:rsid w:val="FFBBAFD0"/>
    <w:rsid w:val="FFFD5DEE"/>
    <w:rsid w:val="000D1458"/>
    <w:rsid w:val="003C70D6"/>
    <w:rsid w:val="004B4CB4"/>
    <w:rsid w:val="008B58BE"/>
    <w:rsid w:val="009E0EDD"/>
    <w:rsid w:val="00A74224"/>
    <w:rsid w:val="00BC352F"/>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621</Words>
  <Characters>3542</Characters>
  <Application>Microsoft Office Word</Application>
  <DocSecurity>0</DocSecurity>
  <Lines>29</Lines>
  <Paragraphs>8</Paragraphs>
  <ScaleCrop>false</ScaleCrop>
  <Company>www.deepin.org</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wiwrsk</cp:lastModifiedBy>
  <cp:revision>3</cp:revision>
  <cp:lastPrinted>2022-07-17T10:32:00Z</cp:lastPrinted>
  <dcterms:created xsi:type="dcterms:W3CDTF">2022-07-20T08:18:00Z</dcterms:created>
  <dcterms:modified xsi:type="dcterms:W3CDTF">2022-07-20T08:19:00Z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