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BE" w:rsidRDefault="004B4CB4">
      <w:pPr>
        <w:widowControl/>
        <w:spacing w:line="560" w:lineRule="exact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</w:t>
      </w:r>
    </w:p>
    <w:p w:rsidR="008B58BE" w:rsidRDefault="00BC352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枣庄市</w:t>
      </w:r>
      <w:r w:rsidR="004E35DC">
        <w:rPr>
          <w:rFonts w:ascii="方正小标宋简体" w:eastAsia="方正小标宋简体" w:hAnsi="方正小标宋简体" w:cs="方正小标宋简体" w:hint="eastAsia"/>
          <w:sz w:val="44"/>
          <w:szCs w:val="44"/>
        </w:rPr>
        <w:t>疾病预防控制中心</w:t>
      </w:r>
    </w:p>
    <w:p w:rsidR="008B58BE" w:rsidRDefault="004B4CB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2022年度服务高质量发展绩效考核工作任务要点</w:t>
      </w:r>
    </w:p>
    <w:bookmarkEnd w:id="0"/>
    <w:p w:rsidR="008B58BE" w:rsidRDefault="004B4CB4">
      <w:pPr>
        <w:pStyle w:val="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主管部门：                                                主管部门负责人：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669"/>
        <w:gridCol w:w="2291"/>
        <w:gridCol w:w="6954"/>
        <w:gridCol w:w="1473"/>
      </w:tblGrid>
      <w:tr w:rsidR="008B58BE" w:rsidTr="003C70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58BE" w:rsidRDefault="004B4CB4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一级指标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58BE" w:rsidRDefault="004B4CB4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二级指标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58BE" w:rsidRDefault="004B4CB4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任务要点名称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58BE" w:rsidRDefault="004B4CB4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年度目标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B58BE" w:rsidRDefault="004B4CB4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分值权重</w:t>
            </w:r>
          </w:p>
        </w:tc>
      </w:tr>
      <w:tr w:rsidR="004E35DC" w:rsidTr="003C70D6">
        <w:trPr>
          <w:trHeight w:val="34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 w:rsidP="00446FD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围绕中心履职尽责（400分）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 w:rsidP="003753FA">
            <w:pPr>
              <w:ind w:left="1" w:hanging="1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重点（职能）工作（390分）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 w:rsidP="009B5A05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做好群众满意度提升工作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切实加强组织领导，各单位主要负责人亲自抓提升，制订具体攻坚方案和整改台账，责任落实到岗到人，确保工作见到实效。未按要求做好工作的，根据满意度考核办法将进行扣分；发生群众不满意情况，造成较大社会影响的，将对年度考核结果进行一票否优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10</w:t>
            </w:r>
          </w:p>
        </w:tc>
      </w:tr>
      <w:tr w:rsidR="004E35DC" w:rsidTr="003C70D6">
        <w:trPr>
          <w:trHeight w:val="49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全面推进“赢在中层”工作。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完成“赢在中层”年度工作任务，全面推进政治能力教育、中层干部轮岗交流、年轻干部常态化配备、干部培训、实践锻炼、差异化考核等14项具体措施，优化单位科室职能和人员配置，为机关提供强有力支持保障。未完成或完成效果较差的据实扣分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10</w:t>
            </w:r>
          </w:p>
        </w:tc>
      </w:tr>
      <w:tr w:rsidR="004E35DC" w:rsidTr="003C70D6">
        <w:trPr>
          <w:trHeight w:val="49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安全生产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守牢安全生产底线，全年不发生生产安全事故或因重大风险隐患被上级部门通报批评，安全生产形势稳定。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9B5A05" w:rsidRDefault="004E35DC" w:rsidP="009B5A05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一票否决</w:t>
            </w:r>
          </w:p>
          <w:p w:rsidR="004E35DC" w:rsidRDefault="009B5A05" w:rsidP="009B5A05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3</w:t>
            </w:r>
            <w:r w:rsidR="004E35DC">
              <w:rPr>
                <w:rFonts w:ascii="仿宋_GB2312" w:eastAsia="仿宋_GB2312" w:hint="eastAsia"/>
                <w:sz w:val="22"/>
                <w:szCs w:val="22"/>
              </w:rPr>
              <w:t>0</w:t>
            </w:r>
          </w:p>
        </w:tc>
      </w:tr>
      <w:tr w:rsidR="004E35DC" w:rsidTr="003C70D6">
        <w:trPr>
          <w:trHeight w:val="49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信访稳定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认真做好信访稳定工作，全年不发生越级访、进京访、大规模群访事件，或因其他信访问题被上级部门通报批评。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10</w:t>
            </w:r>
          </w:p>
        </w:tc>
      </w:tr>
      <w:tr w:rsidR="004E35DC" w:rsidTr="003C70D6">
        <w:trPr>
          <w:trHeight w:val="49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市长热线问题办理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按时高质量办理市长热线反馈问题，办结及时率100%，回访满意率95%以上。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5</w:t>
            </w:r>
          </w:p>
        </w:tc>
      </w:tr>
      <w:tr w:rsidR="004E35DC" w:rsidTr="003C70D6">
        <w:trPr>
          <w:trHeight w:val="49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生物安全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健全各项生物安全工作制度，保障病原微生物实验室安全平稳运行，无生物安全事件发生。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10</w:t>
            </w:r>
          </w:p>
        </w:tc>
      </w:tr>
      <w:tr w:rsidR="004E35DC" w:rsidTr="003C70D6">
        <w:trPr>
          <w:trHeight w:val="49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思想作风能力建设。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扎实推进干部思想作风能力建设，深入开展“五比五看” 活动。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10</w:t>
            </w:r>
          </w:p>
        </w:tc>
      </w:tr>
      <w:tr w:rsidR="004E35DC" w:rsidTr="003C70D6">
        <w:trPr>
          <w:trHeight w:val="49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直达资金支出进度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1、项目资金下达后按时限组织实施；</w:t>
            </w:r>
            <w:r>
              <w:rPr>
                <w:rFonts w:ascii="仿宋_GB2312" w:eastAsia="仿宋_GB2312" w:hint="eastAsia"/>
                <w:sz w:val="22"/>
                <w:szCs w:val="22"/>
              </w:rPr>
              <w:br/>
              <w:t>2、未因自身原因造成资金被收回、调整或调整项目。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5</w:t>
            </w:r>
          </w:p>
        </w:tc>
      </w:tr>
      <w:tr w:rsidR="004E35DC" w:rsidTr="003C70D6">
        <w:trPr>
          <w:trHeight w:val="49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加强预决算管理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1、按时完成预决算上报；</w:t>
            </w:r>
            <w:r>
              <w:rPr>
                <w:rFonts w:ascii="仿宋_GB2312" w:eastAsia="仿宋_GB2312" w:hint="eastAsia"/>
                <w:sz w:val="22"/>
                <w:szCs w:val="22"/>
              </w:rPr>
              <w:br/>
              <w:t>2、按要求对预决算情况进行公开；</w:t>
            </w:r>
            <w:r>
              <w:rPr>
                <w:rFonts w:ascii="仿宋_GB2312" w:eastAsia="仿宋_GB2312" w:hint="eastAsia"/>
                <w:sz w:val="22"/>
                <w:szCs w:val="22"/>
              </w:rPr>
              <w:br/>
              <w:t>3、对预算绩效目标开展自评；</w:t>
            </w:r>
            <w:r>
              <w:rPr>
                <w:rFonts w:ascii="仿宋_GB2312" w:eastAsia="仿宋_GB2312" w:hint="eastAsia"/>
                <w:sz w:val="22"/>
                <w:szCs w:val="22"/>
              </w:rPr>
              <w:br/>
              <w:t>4、资金规模大、社会关注度高的项目开展重点评价；</w:t>
            </w:r>
            <w:r>
              <w:rPr>
                <w:rFonts w:ascii="仿宋_GB2312" w:eastAsia="仿宋_GB2312" w:hint="eastAsia"/>
                <w:sz w:val="22"/>
                <w:szCs w:val="22"/>
              </w:rPr>
              <w:br/>
              <w:t>5、单位自评和财政抽评结果差异较小，抽评结果为“良”及以上。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5</w:t>
            </w:r>
          </w:p>
        </w:tc>
      </w:tr>
      <w:tr w:rsidR="004E35DC" w:rsidTr="003C70D6">
        <w:trPr>
          <w:trHeight w:val="49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法治建设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完善医疗卫生机构法治建设，严格依法规范执业；落实普法责任制，推进卫生健康“八五”普法规划实施。未完成1项扣5分，年内因违反相关卫生健康法律法规收到行政处罚以上处理，该项目不得分。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9B5A05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10</w:t>
            </w:r>
          </w:p>
        </w:tc>
      </w:tr>
      <w:tr w:rsidR="004E35DC" w:rsidTr="003C70D6">
        <w:trPr>
          <w:trHeight w:val="49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做好新冠肺炎疫情防控工作。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严格落实新冠疫情防控措施，落实疫情信息报告和应检尽检制度信息报告及时准确，应检尽检率达到100%。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30</w:t>
            </w:r>
          </w:p>
        </w:tc>
      </w:tr>
      <w:tr w:rsidR="004E35DC" w:rsidTr="00D53B6C">
        <w:trPr>
          <w:trHeight w:val="49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及时处置突发公共卫生事件，守牢公共卫生安全底线，营造经济社会发展良好环境。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制定并定期更新突发公共卫生事件应急处置预案；做好应急物资储备管理；增强综合能力，组织开展卫生应急实战演练不少于1次；规范各类应急报告管理文书；突发公共卫生事件及时处置率100%。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20</w:t>
            </w:r>
          </w:p>
        </w:tc>
      </w:tr>
      <w:tr w:rsidR="004E35DC" w:rsidTr="003C70D6">
        <w:trPr>
          <w:trHeight w:val="49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全面加强党对卫生事业的领导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加强意识形态工作情况，强化新闻舆论引导情况，深入开展精神文明建设，扎实推动宣传思想工作守正创新。</w:t>
            </w:r>
            <w:r>
              <w:rPr>
                <w:rFonts w:ascii="仿宋_GB2312" w:eastAsia="仿宋_GB2312" w:hint="eastAsia"/>
                <w:sz w:val="22"/>
                <w:szCs w:val="22"/>
              </w:rPr>
              <w:br/>
              <w:t>履行全面从严治党责任，加强政治建设，提高政治判断力、政治领悟力、政治执行力；重视和加强统一战线工作。</w:t>
            </w:r>
            <w:r>
              <w:rPr>
                <w:rFonts w:ascii="仿宋_GB2312" w:eastAsia="仿宋_GB2312" w:hint="eastAsia"/>
                <w:sz w:val="22"/>
                <w:szCs w:val="22"/>
              </w:rPr>
              <w:br/>
              <w:t>履行抓基层党建主体责任，贯彻落实《中国共产党党和国家机关基层组织工作条例》，实施党支部标准化规范化建设提升工程。</w:t>
            </w:r>
            <w:r>
              <w:rPr>
                <w:rFonts w:ascii="仿宋_GB2312" w:eastAsia="仿宋_GB2312" w:hint="eastAsia"/>
                <w:sz w:val="22"/>
                <w:szCs w:val="22"/>
              </w:rPr>
              <w:br/>
              <w:t>持之以恒落实中央八项规定及其实施细则精神，深化整治形式主义、官僚主义顽瘴痼疾注重抓实抓细，构建长效机制，弘扬新风正气以及严肃查处违纪违法行为和问责追究。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15</w:t>
            </w:r>
          </w:p>
        </w:tc>
      </w:tr>
      <w:tr w:rsidR="004E35DC" w:rsidTr="003C70D6">
        <w:trPr>
          <w:trHeight w:val="49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夯实扩大国家免疫规划工作，提升免疫预防工作法制化、规范化、信息化水平。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做好免疫规划疫苗常规接种，开展预防接种强基行动，适龄儿童免疫规划疫苗接种率保持在90%以上；以市为单位数字化预防接种门诊覆盖率100%；组织举办全市2022年度免疫预防综合技术培训班。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10</w:t>
            </w:r>
          </w:p>
        </w:tc>
      </w:tr>
      <w:tr w:rsidR="004E35DC" w:rsidTr="003C70D6">
        <w:trPr>
          <w:trHeight w:val="49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继续医学教育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卫生专业技术人员继续医学教育培训率100%，年度任期考核合格率95%以上。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10</w:t>
            </w:r>
          </w:p>
        </w:tc>
      </w:tr>
      <w:tr w:rsidR="004E35DC" w:rsidTr="003C70D6">
        <w:trPr>
          <w:trHeight w:val="49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开展健康科普宣传,助力健康枣庄建设，全面提高居民健康素养水平。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发布健康科普信息至少10次；开展“健康大篷车”进乡村活动6场；开播网上直播课10场。开发通俗易懂、科学、准确的健康传播材料，通过线上、线下多平台发布，全市健康素养水平比上年提高2%。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10</w:t>
            </w:r>
          </w:p>
        </w:tc>
      </w:tr>
      <w:tr w:rsidR="004E35DC" w:rsidTr="003C70D6">
        <w:trPr>
          <w:trHeight w:val="49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坚守重点传染病防控安全底线。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落实重点传染病防控年部署、季调度、月评估制度，加强疫情综合监测、预警报告、调查处置管理，开展风险评估，根据疫情研判和防病需要建立年度传染病重点管理制度；制定传染病防治工作考核核心指标，组织开展传染病防治工作考核，加强霍乱、手足口、流行性出血热、流感等重点传染病防控，确保不发生重点传染病暴发流行；落实措施，严防寨卡病毒病等境外传染病输入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30</w:t>
            </w:r>
          </w:p>
        </w:tc>
      </w:tr>
      <w:tr w:rsidR="004E35DC" w:rsidTr="003C70D6">
        <w:trPr>
          <w:trHeight w:val="49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持续巩固地方病、寄生虫病防控成果。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做好狂犬病、人间布病、碘缺乏病、饮水型氟中毒等地方性疾病防控，确保不发生重点传染病暴发流行。落实输入性疟疾疫情处置措施，巩固消除疟疾成果。广泛开展基层培训，强化能力建设，做好地方病项目检测工作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15</w:t>
            </w:r>
          </w:p>
        </w:tc>
      </w:tr>
      <w:tr w:rsidR="004E35DC" w:rsidTr="003C70D6">
        <w:trPr>
          <w:trHeight w:val="49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多措并举抓好艾滋病防制与检测。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HIV感染者单阳家庭配偶艾滋病检测达到90%以上；随访到的HIV感染者和病人接受结核病结核筛查达到90%；网络报告后10个工作日内完成首次随访工作，并在网络报告系统填报，完成率不低于当年实际应完成首次随访数的90%；继续保持全市艾滋病低流行状态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15</w:t>
            </w:r>
          </w:p>
        </w:tc>
      </w:tr>
      <w:tr w:rsidR="004E35DC" w:rsidTr="003C70D6">
        <w:trPr>
          <w:trHeight w:val="49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抓牢慢性非传染性疾病防控。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推广重点场所“三减”干预模式，完成重点人群“三减”“三高”干预，普及“三减控三高”核心知识。健全完善慢病示范区动态管理机制，加强对示范区日常管理，推动慢病示范区高质量发展。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15</w:t>
            </w:r>
          </w:p>
        </w:tc>
      </w:tr>
      <w:tr w:rsidR="004E35DC" w:rsidTr="003C70D6">
        <w:trPr>
          <w:trHeight w:val="49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抓实食品安全风险、食源性疾病、生活饮用水监测，做好行政部门决策技术支持。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按省要求完成食品安全风险监测任务；食源性疾病病例及食源性疾病事件及时审核率100%；枯水期丰水期任务采样、检测按期完成率100%；各项监测数据及时上报率100%。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10</w:t>
            </w:r>
          </w:p>
        </w:tc>
      </w:tr>
      <w:tr w:rsidR="004E35DC" w:rsidTr="003C70D6">
        <w:trPr>
          <w:trHeight w:val="49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做好职业病防治及健康危害因素监测。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根据职业病防治及危害因素监测方案，各监测数据审核汇总上报及时率100%；协助市卫健委对职业病危害项目申报、放射工作人员职业健康管理等专项工作提供技术支持；协助市卫健委进行“职业健康达人”评选和职业卫生“百名专家、千场讲座”活动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10</w:t>
            </w:r>
          </w:p>
        </w:tc>
      </w:tr>
      <w:tr w:rsidR="004E35DC" w:rsidTr="003C70D6">
        <w:trPr>
          <w:trHeight w:val="49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加强学校卫生监测干预，筑牢学校健康底线。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开展近视、肥胖等学生常见病干预工作，完成近视等学生常见病监测及健康影响因素调查；数据上报及时率100%。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10</w:t>
            </w:r>
          </w:p>
        </w:tc>
      </w:tr>
      <w:tr w:rsidR="004E35DC" w:rsidTr="003C70D6">
        <w:trPr>
          <w:trHeight w:val="49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提升健康教育与促进工作力度，为更好服务人民群众身体健康和生命安全提供技术支撑。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开展健康素养和烟草流行监测，全市完成成人健康素养和烟草监测调查人数不低于3000人；开展多种形式的控烟宣传活动，不少于2次；配合主管部门做好戒烟门诊、无烟医疗卫生机构建设技术指导。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10</w:t>
            </w:r>
          </w:p>
        </w:tc>
      </w:tr>
      <w:tr w:rsidR="004E35DC" w:rsidTr="003C70D6">
        <w:trPr>
          <w:trHeight w:val="49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加强疾控标准化建设，提升履职能力和水平。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做好中心业务人员培训、市级医学继续教育项目申报、科研立项项目的科学研究；做好疫情防控急需专业人才引进。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10</w:t>
            </w:r>
          </w:p>
        </w:tc>
      </w:tr>
      <w:tr w:rsidR="004E35DC" w:rsidTr="003C70D6">
        <w:trPr>
          <w:trHeight w:val="49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强化对基层医疗机构的指导帮扶，发挥技术高地作用。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加强对基层医疗卫生机构帮扶力度，按要求选派业务院长、建立名医基层工作站，加强选派人员管理，强化综合扶持措施，提升帮扶工作成效。</w:t>
            </w:r>
            <w:r>
              <w:rPr>
                <w:rFonts w:ascii="仿宋_GB2312" w:eastAsia="仿宋_GB2312" w:hint="eastAsia"/>
                <w:sz w:val="22"/>
                <w:szCs w:val="22"/>
              </w:rPr>
              <w:br/>
              <w:t>对区（市）疾病预防控制机构的督导和技术指导。做好对各级各类疾病预防控制人员的专业技术知识培训，办好相关专业培训班；开展预防接种人员全员培训、基层卫生应急业务知识培训各不少于1次。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30</w:t>
            </w:r>
          </w:p>
        </w:tc>
      </w:tr>
      <w:tr w:rsidR="004E35DC" w:rsidTr="003C70D6">
        <w:trPr>
          <w:trHeight w:val="49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维护女职工权益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做好女职工权益保障，执行法定节假日休息制度。未做到的酌情扣分。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5</w:t>
            </w:r>
          </w:p>
        </w:tc>
      </w:tr>
      <w:tr w:rsidR="004E35DC" w:rsidTr="003C70D6">
        <w:trPr>
          <w:trHeight w:val="49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做优做强预防接种工作“家长课堂”品牌。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开展基层预防接种人员“家长课堂”活动，适时举办全市预防接种“家长课堂”讲课比赛等系列活动，进一步提升基层预防接种服务能力。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15</w:t>
            </w:r>
          </w:p>
        </w:tc>
      </w:tr>
      <w:tr w:rsidR="004E35DC" w:rsidTr="003C70D6">
        <w:trPr>
          <w:trHeight w:val="49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开展“喜迎二十大，健康乡村行”主题健教巡演活动。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利用柳琴戏“非遗”项目，编排健康主题剧目，深入乡村开展巡演并与科普专家走基层活动相结合，寓教于乐，丰富健康传播载体和形式。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15</w:t>
            </w:r>
          </w:p>
        </w:tc>
      </w:tr>
      <w:tr w:rsidR="004E35DC" w:rsidTr="003C70D6">
        <w:trPr>
          <w:trHeight w:val="25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 w:rsidP="003753F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专项考核（10分）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完成党委书记人才工作项目。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对照年初制定的《2022年度党委书记人才工作项目台账》，落实年度人才工作重点任务。未完成或完成效果较差的据实扣分。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E35DC" w:rsidRDefault="004E35DC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10</w:t>
            </w:r>
          </w:p>
        </w:tc>
      </w:tr>
    </w:tbl>
    <w:p w:rsidR="008B58BE" w:rsidRDefault="004B4CB4">
      <w:r>
        <w:rPr>
          <w:rFonts w:ascii="仿宋_GB2312" w:eastAsia="仿宋_GB2312" w:hAnsi="仿宋_GB2312" w:cs="仿宋_GB2312" w:hint="eastAsia"/>
          <w:sz w:val="32"/>
          <w:szCs w:val="32"/>
        </w:rPr>
        <w:t>填报人：                                                     联系电话：</w:t>
      </w:r>
    </w:p>
    <w:sectPr w:rsidR="008B58BE" w:rsidSect="008B58BE">
      <w:headerReference w:type="default" r:id="rId7"/>
      <w:footerReference w:type="default" r:id="rId8"/>
      <w:pgSz w:w="16840" w:h="11907" w:orient="landscape"/>
      <w:pgMar w:top="1587" w:right="1134" w:bottom="1587" w:left="1134" w:header="851" w:footer="1871" w:gutter="0"/>
      <w:cols w:space="720"/>
      <w:docGrid w:type="linesAndChars" w:linePitch="286" w:charSpace="-24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B6D" w:rsidRDefault="00B92B6D" w:rsidP="008B58BE">
      <w:r>
        <w:separator/>
      </w:r>
    </w:p>
  </w:endnote>
  <w:endnote w:type="continuationSeparator" w:id="1">
    <w:p w:rsidR="00B92B6D" w:rsidRDefault="00B92B6D" w:rsidP="008B5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8BE" w:rsidRDefault="00B92B6D">
    <w:pPr>
      <w:pStyle w:val="a3"/>
      <w:rPr>
        <w:rStyle w:val="a5"/>
        <w:sz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8B58BE" w:rsidRDefault="00B92B6D">
                <w:pPr>
                  <w:pStyle w:val="a3"/>
                </w:pPr>
                <w:r>
                  <w:fldChar w:fldCharType="begin"/>
                </w:r>
                <w:r w:rsidR="004B4CB4">
                  <w:instrText xml:space="preserve"> PAGE  \* MERGEFORMAT </w:instrText>
                </w:r>
                <w:r>
                  <w:fldChar w:fldCharType="separate"/>
                </w:r>
                <w:r w:rsidR="009B5A05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8B58BE" w:rsidRDefault="008B58BE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B6D" w:rsidRDefault="00B92B6D" w:rsidP="008B58BE">
      <w:r>
        <w:separator/>
      </w:r>
    </w:p>
  </w:footnote>
  <w:footnote w:type="continuationSeparator" w:id="1">
    <w:p w:rsidR="00B92B6D" w:rsidRDefault="00B92B6D" w:rsidP="008B5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8BE" w:rsidRDefault="008B58B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NjMDU1NTllMDg2NTU2M2MzMzg3MmU2YjMwM2NhMTcifQ=="/>
  </w:docVars>
  <w:rsids>
    <w:rsidRoot w:val="6EAE066C"/>
    <w:rsid w:val="001722AF"/>
    <w:rsid w:val="6EAE066C"/>
    <w:rsid w:val="A9EA46B1"/>
    <w:rsid w:val="BBCFA6D9"/>
    <w:rsid w:val="CFFE3DC0"/>
    <w:rsid w:val="DEAE6B2B"/>
    <w:rsid w:val="E3B7CF5A"/>
    <w:rsid w:val="EDFF63C0"/>
    <w:rsid w:val="F57B59E6"/>
    <w:rsid w:val="F7BF75AA"/>
    <w:rsid w:val="FBD20814"/>
    <w:rsid w:val="FF6F1EDD"/>
    <w:rsid w:val="FFBBAFD0"/>
    <w:rsid w:val="FFFD5DEE"/>
    <w:rsid w:val="000C734E"/>
    <w:rsid w:val="00321A55"/>
    <w:rsid w:val="003753FA"/>
    <w:rsid w:val="003C70D6"/>
    <w:rsid w:val="00446FD8"/>
    <w:rsid w:val="004B4CB4"/>
    <w:rsid w:val="004E35DC"/>
    <w:rsid w:val="004E6E3F"/>
    <w:rsid w:val="0086104F"/>
    <w:rsid w:val="008B58BE"/>
    <w:rsid w:val="009B5A05"/>
    <w:rsid w:val="00B92B6D"/>
    <w:rsid w:val="00BC352F"/>
    <w:rsid w:val="00DF4B57"/>
    <w:rsid w:val="11627C72"/>
    <w:rsid w:val="1F236228"/>
    <w:rsid w:val="22E06C9B"/>
    <w:rsid w:val="307E4A31"/>
    <w:rsid w:val="31751F07"/>
    <w:rsid w:val="3DF7550A"/>
    <w:rsid w:val="42BB1050"/>
    <w:rsid w:val="43BB4DC5"/>
    <w:rsid w:val="48B9635D"/>
    <w:rsid w:val="4E77565F"/>
    <w:rsid w:val="56852DEC"/>
    <w:rsid w:val="5AFE1AC9"/>
    <w:rsid w:val="5BBE3A87"/>
    <w:rsid w:val="695F0BBD"/>
    <w:rsid w:val="6DFF2EC1"/>
    <w:rsid w:val="6EAE066C"/>
    <w:rsid w:val="7BABBF40"/>
    <w:rsid w:val="7BFFBE9C"/>
    <w:rsid w:val="7FCE2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8B58B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qFormat/>
    <w:rsid w:val="008B58BE"/>
  </w:style>
  <w:style w:type="paragraph" w:styleId="a3">
    <w:name w:val="footer"/>
    <w:basedOn w:val="a"/>
    <w:qFormat/>
    <w:rsid w:val="008B5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8B5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8B58BE"/>
  </w:style>
  <w:style w:type="character" w:styleId="a6">
    <w:name w:val="Hyperlink"/>
    <w:basedOn w:val="a0"/>
    <w:qFormat/>
    <w:rsid w:val="008B58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512</Words>
  <Characters>2921</Characters>
  <Application>Microsoft Office Word</Application>
  <DocSecurity>0</DocSecurity>
  <Lines>24</Lines>
  <Paragraphs>6</Paragraphs>
  <ScaleCrop>false</ScaleCrop>
  <Company>www.deepin.org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℡倁昜垳難〆~*</dc:creator>
  <cp:lastModifiedBy>wiwrsk</cp:lastModifiedBy>
  <cp:revision>3</cp:revision>
  <cp:lastPrinted>2022-07-17T10:32:00Z</cp:lastPrinted>
  <dcterms:created xsi:type="dcterms:W3CDTF">2022-07-20T08:38:00Z</dcterms:created>
  <dcterms:modified xsi:type="dcterms:W3CDTF">2022-07-20T09:33:00Z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0998E1F03D924B25BD38769926B7FA3B</vt:lpwstr>
  </property>
</Properties>
</file>