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3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940"/>
        <w:gridCol w:w="3142"/>
        <w:gridCol w:w="999"/>
        <w:gridCol w:w="1051"/>
        <w:gridCol w:w="910"/>
        <w:gridCol w:w="4076"/>
        <w:gridCol w:w="875"/>
        <w:gridCol w:w="811"/>
        <w:gridCol w:w="899"/>
        <w:gridCol w:w="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870" w:hRule="atLeast"/>
          <w:jc w:val="center"/>
        </w:trPr>
        <w:tc>
          <w:tcPr>
            <w:tcW w:w="1426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val="en-US" w:eastAsia="zh-CN"/>
              </w:rPr>
              <w:t>枣庄市中心血站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2023年度职责任务清单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科室名称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具体任务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任务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来源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依据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牵头或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配合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年度目标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完成时限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科室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承办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4" w:hRule="atLeast"/>
          <w:jc w:val="center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办公室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按照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上级文件精神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和有关规定开展的党务、纪检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工作。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职能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行政管理文件、枣庄市中心血站质量体系文件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办公室牵头，其它科室配合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深化学习，提高个人素质，要把业务学习和党务学习放在同等重要的位置；学懂学透党章、党纪处分条例等党纪条规，自觉规范言行，明确守纪底线。2、支部制订2023年党建工作要点和纪检工作要求及学习计划。3、明确学习的次数、时间和内容，建立党支部成员讲党课机制，每名支部成员每年至少讲1次党课。4、在定期学习、会议、党员志愿服务活动基础上，增加部分红色目的地的实地参观教育活动。多方位、多种形式的开展，加强党的凝聚力。 5、每年定期召开组织生活会，增强与党员干部之间，领导与普通党员之间的沟通交流，落实党员新发展思维理念，提高党员政治站位，积极参与并热情加入组织学习生活中来。6、认真贯彻党的路线、方针、政策的制度建设，制定和完善切实可行制度。每年进行廉政风险点排查，把政治纪律教育纳入党员干部教育的整体规划，使广大党员干部自觉增强纪律意识。      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2023年度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栗玲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栗  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吕  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 xml:space="preserve">胡玉琳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付丽莹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32" w:hRule="atLeast"/>
          <w:jc w:val="center"/>
        </w:trPr>
        <w:tc>
          <w:tcPr>
            <w:tcW w:w="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做好年度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机构编制、人事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管理、干部人才队伍建设工作。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职能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行政管理文件、枣庄市中心血站质量体系文件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办公室牵头，其他科室配合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0"/>
                <w:sz w:val="18"/>
                <w:szCs w:val="18"/>
                <w:highlight w:val="none"/>
              </w:rPr>
              <w:t>深入开展“赢在中层”行动，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按照前期制定的方案积极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0"/>
                <w:sz w:val="18"/>
                <w:szCs w:val="18"/>
                <w:highlight w:val="none"/>
              </w:rPr>
              <w:t>推进中层干部轮岗交流工作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加强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培养选拔优秀年轻干部常态化工作机制；落实党管人才工作要求，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积极选树优秀典型。3、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执行岗位管理和聘用、考核制度，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完成年度内人员档案、技术档案、职称晋升、劳资调整、人员录用和人事调动工作。4、利用专业优势，参与市人社局组织的高层次人才招聘、交流活动，积极引进适合血站发展的高层次人才。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2023年度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吕磊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付丽莹      胡玉琳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12" w:hRule="atLeast"/>
          <w:jc w:val="center"/>
        </w:trPr>
        <w:tc>
          <w:tcPr>
            <w:tcW w:w="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积极做好后勤保障、信访维稳、工会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等内部管理工作。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 xml:space="preserve">                     职能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工作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行政管理文件、枣庄市中心血站质量体系文件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办公室牵头，其他科室配合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1、完成年度内办公用品采购、会议接待、公文管理、考核考勤、车辆管理等后勤保障工作；2、完成年度内工会事务。3、协助领导和各科室完成突发性应急工作。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2023年度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栗玲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栗  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吕  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李秀国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 xml:space="preserve">胡玉琳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 xml:space="preserve">付丽莹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业务科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负责参加团体献血单位的联系、对接工作，工作人员排班。2、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血站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专业及人员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的业务培训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工作。3、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血站试剂、卫生耗材采购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纪念品采购。4、负责处理业务相关投诉工作。5.保障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全市孕产妇用血安全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及时，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孕产妇用血绿色通道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畅通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职能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2023年度血站作业文件的业务需求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业务科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牵头，其他科室配合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年度业务目标：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1、各区县团体采血完成率100%。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2、试剂、耗材采购率100%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3、业务学习参与率95%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4、献血投诉处理率100%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5、纪念品采购率100%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6、协助领导和各科室完成突发性应急工作；7、完善程序文件，制定保障孕产妇临床用血绿色通道实施细则和流程。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2023年度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王新颜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杜中然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王新颜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马飞雁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曹以芹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70" w:hRule="atLeast"/>
          <w:jc w:val="center"/>
        </w:trPr>
        <w:tc>
          <w:tcPr>
            <w:tcW w:w="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  <w:t>完善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各类卫生应急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  <w:t>预案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加强卫生应急队伍建设。开展卫生应急急救知识“四进”活动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职能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工作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《山东省突发事件紧急医学救援“十四五”规划》；省、市《“四送四进四提升”健康行动促进方案》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0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  <w:t>动态制（修）订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公共卫生类各项应急处置预案及自然灾害等突发事件医疗救援应对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  <w:t>预案，强化预案的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实用性和可操作性；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动态充实、调整卫生应急队伍，落实卫生应急急救知识“四进”活动，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定期开展应急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培训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演练，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配足配齐应急储备物资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年底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王新颜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王光乾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陈  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张  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宋洪修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魏  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李秀国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程明霞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4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信息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科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采供血相关数据的统计、上报和分析、运用工作，为领导决策提供数据信息；计算机房的管理，保持服务器、网络设备、存储设备等运行情况良好；负责全站计算机软件的维护；负责唐山启奥9.0系统的建立、维护和管理。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职能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信息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牵头，其他科室配合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微信公众号、枣庄日报专栏发文110篇，微信发布血情信息50篇，枣庄日报宣传版60篇。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采供血数据每月分析1次3、全站的数据整合、备份、网络、数据安全无重大差错，无舆情发生。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4、协助领导和各科室完成突发性应急工作；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2023年度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陈强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陈  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杨  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4" w:hRule="atLeast"/>
          <w:jc w:val="center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总务科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负责全站的消防安全、物业管理、仪器设备采购校验维修、物料的采购储备和物料的仓库管理。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职能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总务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牵头，其他科室配合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完成本年度血站的消防安全无重大责任事故的发生。完成本年度采供血的正常水电和物资供应等后勤保障工作。完成本年度的仪器设备采购校验维修，保证相关科室工作的正常开展。协助领导和各科室完成突发性应急工作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2023年度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王光乾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冯  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4" w:hRule="atLeast"/>
          <w:jc w:val="center"/>
        </w:trPr>
        <w:tc>
          <w:tcPr>
            <w:tcW w:w="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做好垃圾分类工作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职能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总务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牵头，其他科室配合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严格落实《枣庄市医疗卫生机构生活垃圾分类工作考核标准》（枣卫办字〔2023〕29号）；建立本单位生活垃圾分类工作领导机构和工作方案并有效落实；完善生活垃圾分类投放设施配置，落实分类收运要求；积极开展生活垃圾分类宣传教育主题活动；建立本单位生活垃圾分类考评制度并有效执行。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2023年度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王光乾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物业人员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26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编制财务预算和财务计划，合理调配资金，审核财务报表，配合财务审计。负责用血单位财务结算，负责单位固定资产核查，每月工资的及时发放，会计凭证审核，编制各种会计报表，日常财务支出，清理往来款项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职能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财务管理文件、枣庄市中心血站质量体系文件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财务科牵头，其他科室配合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完成本年度的财务预算和财务计划，合理调配现有资金，审核财务报表，配合财务审计，按时收回医院血款，按要求核查固定资产，及时发放工资，编制各种会计报表，财务支出无差错。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协助领导和各科室完成突发性应急工作；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2023年度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180" w:firstLineChars="100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华志红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张晓立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张保友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高雅硕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4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血源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科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负责预约、采集临床用机采血小板和稀有血型的血液。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职能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2023年临床需求量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血源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科牵头，其他科室配合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2023年度，机采3250单位同比增长率≥5%，稀有血型58000毫升。协助领导和各科室完成突发性应急工作；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2023年度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程明霞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孔  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李林萍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曹艳艳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李  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郭思雨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4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1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供血科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血液的接收、储存、温度监控、库存管理及血液的发放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职能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年度临床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用血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需求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供血科牵头，其他科室配合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年度业务目标各类血液成分发放总数不低于90000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个单位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协助领导和各科室完成突发性应急工作；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2023年度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宋洪修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张继萍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宋丽娟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陈星宇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杜欣欣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杨飞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4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质管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科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负责各种血液制剂、关键物料的抽检、关键设备和环境卫生的监测；疑难血型的鉴定、血液质量控制、质量体系文件的管理及生物实验室室。内质控、室间质评监测。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职能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一法两规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”、《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血站技术操作规程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及相关法律、法规、标准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质管科牵头，业务科室配合。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1、各种血液制剂抽检完成率100%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2、各种关键物料抽检完成率100%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3、关键设备检测完成率100%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4、环境卫生检测完成率100%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5、省级血液质控实验室室间质量评价结果合格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协助领导和各科室完成突发性应急工作；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2023年度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张惠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单  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张辰辰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4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献血宣传科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无偿献血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免费用血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费用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报销与无偿献血的宣传工作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职能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2022年血费报销需求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献血宣传科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牵头，其他科室配合。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本年度完成目标报销人次超600人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,报销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血费50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万余元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,继续做好献血热线接听工作。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协助领导和各科室完成突发性应急工作；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2023年度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李刚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4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体采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血液的初筛、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集，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对无偿献血者的全血采集。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职能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2022年度临床血液需求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体采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牵头，其他科室配合。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年度业务目标血液采集量不低于16000单位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年度业务目标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采集全血总数不少于50000单位，同比增长≥15%；千人口献血率≥8%。协助领导和各科室完成突发性应急工作；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2023年度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李秀国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科室相关工作人员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4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检验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科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 xml:space="preserve">1、献血者血液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标本接收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血筛项目检验、结果发布，血筛项目包括（血清学检测项目双遍检测：HBsAg 、HCV-Ab、HIV-Ab/Ag、TP-Ab；ALT；ABO血型正反定型；Rh（D）；HBVDNA；HCVRNA；HIVRNA；）。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2、检验科各实验室设施/设备的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维护、保养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校验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3、检验科实验室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环境标识、物品标识保持可追溯性控制；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保证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工作环境的有效性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4、献血者血液标本留存、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检验结果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保密，归档；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检验过程中产生的医疗废物的收集、存放、交付；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6、国家、省级室间质评。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7、国家、省级HIV实验室考核。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8、国家、省级核酸检测数据上报，HIV数据上报。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9、负责全站的生物安全工作，保证实验室工作的有序开展。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职能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血站质量管理体系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检验科牵头，其他科室配合。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年度达到检测3万人次的献血者血液标本。协助领导和各科室完成突发性应急工作；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2023年度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陈淑娇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  <w:t>田家强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  <w:t>赵  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  <w:t>王  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  <w:t>郭晓明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  <w:t>黄  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  <w:t>尹慧敏</w:t>
            </w:r>
          </w:p>
        </w:tc>
      </w:tr>
    </w:tbl>
    <w:p>
      <w:pPr>
        <w:tabs>
          <w:tab w:val="left" w:pos="2173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546F19"/>
    <w:multiLevelType w:val="singleLevel"/>
    <w:tmpl w:val="9A546F1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0C3D81F"/>
    <w:multiLevelType w:val="singleLevel"/>
    <w:tmpl w:val="D0C3D81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4B08A1D"/>
    <w:multiLevelType w:val="singleLevel"/>
    <w:tmpl w:val="34B08A1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23BBF19"/>
    <w:multiLevelType w:val="singleLevel"/>
    <w:tmpl w:val="623BBF1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YjgwZDYwZGE3OTNkNzk1MDA2MjYxNGQ0NzZlNWUifQ=="/>
  </w:docVars>
  <w:rsids>
    <w:rsidRoot w:val="1E4525D9"/>
    <w:rsid w:val="02634F9F"/>
    <w:rsid w:val="027433E3"/>
    <w:rsid w:val="076A2528"/>
    <w:rsid w:val="142B46CE"/>
    <w:rsid w:val="18152983"/>
    <w:rsid w:val="18BC76D4"/>
    <w:rsid w:val="1E4525D9"/>
    <w:rsid w:val="1EBB0E55"/>
    <w:rsid w:val="29AC7DF7"/>
    <w:rsid w:val="2A095476"/>
    <w:rsid w:val="3510196C"/>
    <w:rsid w:val="351A24E7"/>
    <w:rsid w:val="3C334733"/>
    <w:rsid w:val="4056152F"/>
    <w:rsid w:val="40CA31F0"/>
    <w:rsid w:val="47AE52AF"/>
    <w:rsid w:val="4DE0098A"/>
    <w:rsid w:val="4E9D0F45"/>
    <w:rsid w:val="4EEB1A73"/>
    <w:rsid w:val="4F3A706F"/>
    <w:rsid w:val="543547EF"/>
    <w:rsid w:val="575431DF"/>
    <w:rsid w:val="587E49A5"/>
    <w:rsid w:val="5BBA6DBB"/>
    <w:rsid w:val="5C6F5646"/>
    <w:rsid w:val="5D0814E1"/>
    <w:rsid w:val="5D686BE6"/>
    <w:rsid w:val="65E304E3"/>
    <w:rsid w:val="678673E4"/>
    <w:rsid w:val="6D601980"/>
    <w:rsid w:val="749F7978"/>
    <w:rsid w:val="74B22DF9"/>
    <w:rsid w:val="76301D31"/>
    <w:rsid w:val="771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rPr>
      <w:rFonts w:ascii="宋体" w:hAnsi="Courier New" w:eastAsia="宋体" w:cs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  <w:pPr>
      <w:snapToGrid w:val="0"/>
      <w:spacing w:line="600" w:lineRule="exact"/>
      <w:ind w:firstLine="703"/>
    </w:pPr>
    <w:rPr>
      <w:rFonts w:cs="仿宋_GB2312"/>
      <w:color w:val="000000"/>
      <w:sz w:val="32"/>
      <w:szCs w:val="3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fontstyle01"/>
    <w:basedOn w:val="9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1">
    <w:name w:val="fontstyle21"/>
    <w:basedOn w:val="9"/>
    <w:qFormat/>
    <w:uiPriority w:val="0"/>
    <w:rPr>
      <w:rFonts w:hint="default" w:ascii="Times New Roman" w:hAnsi="Times New Roman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3311</Words>
  <Characters>3492</Characters>
  <Lines>0</Lines>
  <Paragraphs>0</Paragraphs>
  <TotalTime>8</TotalTime>
  <ScaleCrop>false</ScaleCrop>
  <LinksUpToDate>false</LinksUpToDate>
  <CharactersWithSpaces>3771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2023-05-09T01:10:00Z</dcterms:created>
  <dc:creator>ㄟ衰灰</dc:creator>
  <cp:lastModifiedBy>Administrator</cp:lastModifiedBy>
  <cp:lastPrinted>2023-05-09T03:07:00Z</cp:lastPrinted>
  <dcterms:modified xsi:type="dcterms:W3CDTF">2023-07-18T02:39:12Z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4EF87CA072B040B6AA5993E56185FBEC_13</vt:lpwstr>
  </property>
</Properties>
</file>