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5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14"/>
        <w:gridCol w:w="757"/>
        <w:gridCol w:w="1422"/>
        <w:gridCol w:w="2252"/>
        <w:gridCol w:w="774"/>
        <w:gridCol w:w="1211"/>
        <w:gridCol w:w="1187"/>
        <w:gridCol w:w="1430"/>
        <w:gridCol w:w="981"/>
        <w:gridCol w:w="793"/>
        <w:gridCol w:w="1073"/>
        <w:gridCol w:w="833"/>
        <w:gridCol w:w="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rFonts w:ascii="宋体" w:eastAsia="宋体" w:cs="宋体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Lines="50" w:line="400" w:lineRule="exact"/>
              <w:jc w:val="center"/>
              <w:rPr>
                <w:rFonts w:ascii="方正大标宋简体" w:hAnsi="宋体" w:eastAsia="方正大标宋简体" w:cs="宋体"/>
                <w:sz w:val="44"/>
                <w:szCs w:val="44"/>
              </w:rPr>
            </w:pPr>
            <w:r>
              <w:rPr>
                <w:rFonts w:hint="eastAsia" w:ascii="方正大标宋简体" w:hAnsi="宋体" w:eastAsia="方正大标宋简体" w:cs="宋体"/>
                <w:sz w:val="44"/>
                <w:szCs w:val="44"/>
              </w:rPr>
              <w:t>枣庄市急救指挥中心单位业务范围清单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主管部门、单位（公章）：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事业单位法定代表人签字：</w:t>
            </w:r>
          </w:p>
          <w:p>
            <w:pPr>
              <w:spacing w:after="0" w:line="360" w:lineRule="exact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事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业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单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位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(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公章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):                                               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填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报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日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期：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2017.9.26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单位名称</w:t>
            </w:r>
          </w:p>
        </w:tc>
        <w:tc>
          <w:tcPr>
            <w:tcW w:w="2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枣庄市急救指挥中心</w:t>
            </w: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统一社会信用代码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12370400785026154F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单位地址</w:t>
            </w:r>
          </w:p>
        </w:tc>
        <w:tc>
          <w:tcPr>
            <w:tcW w:w="55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枣庄市光明大道嘉汇大厦8-B-14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5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序号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事项</w:t>
            </w:r>
            <w:r>
              <w:rPr>
                <w:rFonts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名称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事项类别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实施依据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主要内容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服务对象</w:t>
            </w:r>
          </w:p>
        </w:tc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承办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机构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共同实施单位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是否收费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及标准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期限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年度业务量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开展成效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联系方式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120电话受理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公益服务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市人民政府令124号《枣庄市社会医疗急救管理办法》第九条（一）（三）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日常院前医疗急救和大型突发事件医疗救援，统筹协调医疗急救资源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全社会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综合科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无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长期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受理电话约为12万次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3122120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bookmarkStart w:id="0" w:name="_GoBack" w:colFirst="10" w:colLast="10"/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急救信息保存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公益服务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市人民政府令124号《枣庄市社会医疗急救管理办法》第九条（四）（六）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全市院前医疗急救信息保存、查询及急救网络管理维护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全社会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综合科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无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长期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保存急救信息约为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4万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份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，查询约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40次。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3122120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院前医疗急救工作监督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公益服务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市人民政府令124号《枣庄市社会医疗急救管理办法》第九条（二）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对全市院前医疗急救工作的人员、机构监督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全社会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综合科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无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长期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不可计量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3122120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急救知识宣传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公益服务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市人民政府令124号《枣庄市社会医疗急救管理办法》第九条（五）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急救知识宣传和技能培训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急救网络医院及社会群众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综合科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无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长期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宣约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3万人，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培训一次，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  <w:lang w:eastAsia="zh-CN"/>
              </w:rPr>
              <w:t>约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400人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3122120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120救护车监管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公益服务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国家卫计委《院前医疗急救管理办法》第二十七条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负责全市院前急救救护车日常监管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急救网络医院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综合科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无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长期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不可计量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3122120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内部管理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其他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相关规定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按照章程和有关规定开展的党务、纪检、人事、财务、工青妇等内部管理工作。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本单位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综合科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无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长期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不可计量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有效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3122120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合计</w:t>
            </w:r>
          </w:p>
        </w:tc>
        <w:tc>
          <w:tcPr>
            <w:tcW w:w="139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共有业务事项6项，其中行政辅助事项0</w:t>
            </w:r>
            <w:r>
              <w:rPr>
                <w:rFonts w:ascii="仿宋_GB2312" w:hAnsi="宋体" w:eastAsia="仿宋_GB2312" w:cs="宋体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项，公益服务事项5项，经营服务0项</w:t>
            </w:r>
            <w:r>
              <w:rPr>
                <w:rFonts w:ascii="仿宋_GB2312" w:hAnsi="宋体" w:eastAsia="仿宋_GB2312" w:cs="宋体"/>
                <w:sz w:val="20"/>
                <w:szCs w:val="20"/>
              </w:rPr>
              <w:t>,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其他事项1</w:t>
            </w:r>
            <w:r>
              <w:rPr>
                <w:rFonts w:ascii="仿宋_GB2312" w:hAnsi="宋体" w:eastAsia="仿宋_GB2312" w:cs="宋体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项。</w:t>
            </w:r>
          </w:p>
        </w:tc>
      </w:tr>
    </w:tbl>
    <w:p>
      <w:pPr>
        <w:spacing w:line="300" w:lineRule="exact"/>
        <w:ind w:right="-1386" w:rightChars="-63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事业单位填报人</w:t>
      </w:r>
      <w:r>
        <w:rPr>
          <w:rFonts w:eastAsia="仿宋_GB2312"/>
          <w:szCs w:val="21"/>
        </w:rPr>
        <w:t xml:space="preserve">:    </w:t>
      </w:r>
      <w:r>
        <w:rPr>
          <w:rFonts w:hint="eastAsia" w:eastAsia="仿宋_GB2312"/>
          <w:szCs w:val="21"/>
        </w:rPr>
        <w:t>孟文</w:t>
      </w:r>
      <w:r>
        <w:rPr>
          <w:rFonts w:eastAsia="仿宋_GB2312"/>
          <w:szCs w:val="21"/>
        </w:rPr>
        <w:t xml:space="preserve">                               </w:t>
      </w:r>
      <w:r>
        <w:rPr>
          <w:rFonts w:hint="eastAsia" w:eastAsia="仿宋_GB2312"/>
          <w:szCs w:val="21"/>
        </w:rPr>
        <w:t>事业单位审核人</w:t>
      </w:r>
      <w:r>
        <w:rPr>
          <w:rFonts w:eastAsia="仿宋_GB2312"/>
          <w:szCs w:val="21"/>
        </w:rPr>
        <w:t xml:space="preserve">:     </w:t>
      </w:r>
      <w:r>
        <w:rPr>
          <w:rFonts w:hint="eastAsia" w:eastAsia="仿宋_GB2312"/>
          <w:szCs w:val="21"/>
        </w:rPr>
        <w:t>颜世东</w:t>
      </w:r>
      <w:r>
        <w:rPr>
          <w:rFonts w:eastAsia="仿宋_GB2312"/>
          <w:szCs w:val="21"/>
        </w:rPr>
        <w:t xml:space="preserve">                        </w:t>
      </w:r>
      <w:r>
        <w:rPr>
          <w:rFonts w:hint="eastAsia" w:eastAsia="仿宋_GB2312"/>
          <w:szCs w:val="21"/>
        </w:rPr>
        <w:t xml:space="preserve">       </w:t>
      </w: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主管部门审核人</w:t>
      </w:r>
      <w:r>
        <w:rPr>
          <w:rFonts w:eastAsia="仿宋_GB2312"/>
          <w:szCs w:val="21"/>
        </w:rPr>
        <w:t>:</w:t>
      </w:r>
    </w:p>
    <w:p>
      <w:pPr>
        <w:spacing w:line="300" w:lineRule="exact"/>
        <w:ind w:right="-1386" w:rightChars="-630"/>
        <w:rPr>
          <w:rFonts w:eastAsia="仿宋_GB2312"/>
          <w:szCs w:val="21"/>
        </w:rPr>
        <w:sectPr>
          <w:footerReference r:id="rId3" w:type="default"/>
          <w:footerReference r:id="rId4" w:type="even"/>
          <w:pgSz w:w="16838" w:h="11906" w:orient="landscape"/>
          <w:pgMar w:top="873" w:right="1797" w:bottom="873" w:left="1797" w:header="851" w:footer="1134" w:gutter="0"/>
          <w:cols w:space="720" w:num="1"/>
          <w:docGrid w:type="linesAndChars" w:linePitch="312" w:charSpace="0"/>
        </w:sectPr>
      </w:pPr>
      <w:r>
        <w:rPr>
          <w:rFonts w:hint="eastAsia" w:eastAsia="仿宋_GB2312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系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话</w:t>
      </w:r>
      <w:r>
        <w:rPr>
          <w:rFonts w:eastAsia="仿宋_GB2312"/>
          <w:szCs w:val="21"/>
        </w:rPr>
        <w:t xml:space="preserve">:    </w:t>
      </w:r>
      <w:r>
        <w:rPr>
          <w:rFonts w:hint="eastAsia" w:eastAsia="仿宋_GB2312"/>
          <w:szCs w:val="21"/>
        </w:rPr>
        <w:t>3122120</w:t>
      </w:r>
      <w:r>
        <w:rPr>
          <w:rFonts w:eastAsia="仿宋_GB2312"/>
          <w:szCs w:val="21"/>
        </w:rPr>
        <w:t xml:space="preserve">                         </w:t>
      </w:r>
      <w:r>
        <w:rPr>
          <w:rFonts w:hint="eastAsia" w:eastAsia="仿宋_GB2312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系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话</w:t>
      </w:r>
      <w:r>
        <w:rPr>
          <w:rFonts w:eastAsia="仿宋_GB2312"/>
          <w:szCs w:val="21"/>
        </w:rPr>
        <w:t xml:space="preserve">: </w:t>
      </w:r>
      <w:r>
        <w:rPr>
          <w:rFonts w:hint="eastAsia" w:eastAsia="仿宋_GB2312"/>
          <w:szCs w:val="21"/>
        </w:rPr>
        <w:t>3122122</w:t>
      </w:r>
      <w:r>
        <w:rPr>
          <w:rFonts w:eastAsia="仿宋_GB2312"/>
          <w:szCs w:val="21"/>
        </w:rPr>
        <w:t xml:space="preserve">                         </w:t>
      </w:r>
      <w:r>
        <w:rPr>
          <w:rFonts w:hint="eastAsia" w:eastAsia="仿宋_GB2312"/>
          <w:szCs w:val="21"/>
        </w:rPr>
        <w:t xml:space="preserve">    </w:t>
      </w:r>
      <w:r>
        <w:rPr>
          <w:rFonts w:eastAsia="仿宋_GB2312"/>
          <w:szCs w:val="21"/>
        </w:rPr>
        <w:t xml:space="preserve">     </w:t>
      </w:r>
      <w:r>
        <w:rPr>
          <w:rFonts w:hint="eastAsia" w:eastAsia="仿宋_GB2312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系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电</w:t>
      </w:r>
      <w:r>
        <w:rPr>
          <w:rFonts w:eastAsia="仿宋_GB2312"/>
          <w:szCs w:val="21"/>
        </w:rPr>
        <w:t xml:space="preserve">   </w:t>
      </w:r>
      <w:r>
        <w:rPr>
          <w:rFonts w:hint="eastAsia" w:eastAsia="仿宋_GB2312"/>
          <w:szCs w:val="21"/>
        </w:rPr>
        <w:t>话</w:t>
      </w:r>
      <w:r>
        <w:rPr>
          <w:rFonts w:eastAsia="仿宋_GB2312"/>
          <w:szCs w:val="21"/>
        </w:rPr>
        <w:t>:</w:t>
      </w:r>
    </w:p>
    <w:p>
      <w:pPr>
        <w:spacing w:line="500" w:lineRule="exact"/>
        <w:rPr>
          <w:rFonts w:ascii="黑体" w:hAnsi="黑体" w:eastAsia="黑体"/>
          <w:sz w:val="21"/>
          <w:szCs w:val="21"/>
        </w:rPr>
      </w:pPr>
    </w:p>
    <w:sectPr>
      <w:footerReference r:id="rId5" w:type="default"/>
      <w:pgSz w:w="11906" w:h="16838"/>
      <w:pgMar w:top="2041" w:right="1588" w:bottom="2041" w:left="1588" w:header="851" w:footer="1871" w:gutter="0"/>
      <w:cols w:space="708" w:num="1"/>
      <w:docGrid w:type="linesAndChars" w:linePitch="303" w:charSpace="-4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pacing w:after="0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>—</w:t>
    </w:r>
    <w:r>
      <w:rPr>
        <w:rStyle w:val="7"/>
        <w:rFonts w:ascii="Times New Roman" w:hAnsi="Times New Roman"/>
        <w:sz w:val="28"/>
        <w:szCs w:val="28"/>
      </w:rPr>
      <w:t xml:space="preserve">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1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</w:t>
    </w:r>
    <w:r>
      <w:rPr>
        <w:rStyle w:val="7"/>
        <w:rFonts w:ascii="宋体" w:hAnsi="宋体" w:eastAsia="宋体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pacing w:after="0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>—</w:t>
    </w:r>
    <w:r>
      <w:rPr>
        <w:rStyle w:val="7"/>
        <w:rFonts w:ascii="Times New Roman" w:hAnsi="Times New Roman"/>
        <w:sz w:val="28"/>
        <w:szCs w:val="28"/>
      </w:rPr>
      <w:t xml:space="preserve">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3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</w:t>
    </w:r>
    <w:r>
      <w:rPr>
        <w:rStyle w:val="7"/>
        <w:rFonts w:ascii="宋体" w:hAnsi="宋体" w:eastAsia="宋体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99"/>
  <w:drawingGridVerticalSpacing w:val="303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rsids>
    <w:rsidRoot w:val="00D31D50"/>
    <w:rsid w:val="000314C9"/>
    <w:rsid w:val="00033D70"/>
    <w:rsid w:val="00036E44"/>
    <w:rsid w:val="00036F0A"/>
    <w:rsid w:val="00050EB8"/>
    <w:rsid w:val="00057D32"/>
    <w:rsid w:val="0006053B"/>
    <w:rsid w:val="000611F8"/>
    <w:rsid w:val="00063A3B"/>
    <w:rsid w:val="00066EF9"/>
    <w:rsid w:val="0007273E"/>
    <w:rsid w:val="00095A1A"/>
    <w:rsid w:val="000979FF"/>
    <w:rsid w:val="000C0BCE"/>
    <w:rsid w:val="000C37E5"/>
    <w:rsid w:val="000D6B77"/>
    <w:rsid w:val="00127C51"/>
    <w:rsid w:val="00137128"/>
    <w:rsid w:val="001450A0"/>
    <w:rsid w:val="00165DF1"/>
    <w:rsid w:val="00174DDA"/>
    <w:rsid w:val="00193496"/>
    <w:rsid w:val="00193B1E"/>
    <w:rsid w:val="0019737A"/>
    <w:rsid w:val="001C142C"/>
    <w:rsid w:val="001F255E"/>
    <w:rsid w:val="001F5F4E"/>
    <w:rsid w:val="001F68EE"/>
    <w:rsid w:val="002045CC"/>
    <w:rsid w:val="0020743A"/>
    <w:rsid w:val="00214486"/>
    <w:rsid w:val="002224EE"/>
    <w:rsid w:val="00223B1C"/>
    <w:rsid w:val="00224EA7"/>
    <w:rsid w:val="00234CAF"/>
    <w:rsid w:val="00241489"/>
    <w:rsid w:val="0024148D"/>
    <w:rsid w:val="00241B9F"/>
    <w:rsid w:val="0029146B"/>
    <w:rsid w:val="002A58D6"/>
    <w:rsid w:val="002C4CBA"/>
    <w:rsid w:val="002E2E1B"/>
    <w:rsid w:val="002F439B"/>
    <w:rsid w:val="00321497"/>
    <w:rsid w:val="00323B43"/>
    <w:rsid w:val="003354C6"/>
    <w:rsid w:val="00336EF6"/>
    <w:rsid w:val="00340E79"/>
    <w:rsid w:val="003522D9"/>
    <w:rsid w:val="0035408B"/>
    <w:rsid w:val="003905F7"/>
    <w:rsid w:val="00394BA9"/>
    <w:rsid w:val="00395975"/>
    <w:rsid w:val="003A16E8"/>
    <w:rsid w:val="003D37D8"/>
    <w:rsid w:val="003E00B6"/>
    <w:rsid w:val="003F1A1D"/>
    <w:rsid w:val="00400B07"/>
    <w:rsid w:val="004020CD"/>
    <w:rsid w:val="00404765"/>
    <w:rsid w:val="00407D18"/>
    <w:rsid w:val="0041017B"/>
    <w:rsid w:val="00421A42"/>
    <w:rsid w:val="00426133"/>
    <w:rsid w:val="004358AB"/>
    <w:rsid w:val="00447030"/>
    <w:rsid w:val="00474AC9"/>
    <w:rsid w:val="00482863"/>
    <w:rsid w:val="00482C10"/>
    <w:rsid w:val="0048462D"/>
    <w:rsid w:val="00490424"/>
    <w:rsid w:val="0049203E"/>
    <w:rsid w:val="004B0062"/>
    <w:rsid w:val="004E3507"/>
    <w:rsid w:val="00511A68"/>
    <w:rsid w:val="00525D06"/>
    <w:rsid w:val="0053576C"/>
    <w:rsid w:val="00553E82"/>
    <w:rsid w:val="00563D3C"/>
    <w:rsid w:val="0058047D"/>
    <w:rsid w:val="00585066"/>
    <w:rsid w:val="0058514D"/>
    <w:rsid w:val="005917EC"/>
    <w:rsid w:val="005C4A23"/>
    <w:rsid w:val="005D0AB1"/>
    <w:rsid w:val="005F6869"/>
    <w:rsid w:val="00607533"/>
    <w:rsid w:val="006159DC"/>
    <w:rsid w:val="00622AE9"/>
    <w:rsid w:val="0065375F"/>
    <w:rsid w:val="006671F3"/>
    <w:rsid w:val="00676BE5"/>
    <w:rsid w:val="006817B3"/>
    <w:rsid w:val="00682E34"/>
    <w:rsid w:val="00691791"/>
    <w:rsid w:val="00692DF0"/>
    <w:rsid w:val="00695DE3"/>
    <w:rsid w:val="006A048A"/>
    <w:rsid w:val="006A7379"/>
    <w:rsid w:val="006B50D8"/>
    <w:rsid w:val="006D34AF"/>
    <w:rsid w:val="006D5D35"/>
    <w:rsid w:val="006F4E22"/>
    <w:rsid w:val="00707418"/>
    <w:rsid w:val="00707B95"/>
    <w:rsid w:val="007133D5"/>
    <w:rsid w:val="00735900"/>
    <w:rsid w:val="007518EB"/>
    <w:rsid w:val="00753F1B"/>
    <w:rsid w:val="007735AA"/>
    <w:rsid w:val="00776D22"/>
    <w:rsid w:val="00782815"/>
    <w:rsid w:val="0079237D"/>
    <w:rsid w:val="007E6094"/>
    <w:rsid w:val="007F7280"/>
    <w:rsid w:val="008064ED"/>
    <w:rsid w:val="00816E26"/>
    <w:rsid w:val="00845536"/>
    <w:rsid w:val="008569E4"/>
    <w:rsid w:val="00860EE2"/>
    <w:rsid w:val="00861A7B"/>
    <w:rsid w:val="00871806"/>
    <w:rsid w:val="00874CF2"/>
    <w:rsid w:val="0087530D"/>
    <w:rsid w:val="00882BEF"/>
    <w:rsid w:val="008944F2"/>
    <w:rsid w:val="00895F46"/>
    <w:rsid w:val="00896084"/>
    <w:rsid w:val="008A189F"/>
    <w:rsid w:val="008A3BD9"/>
    <w:rsid w:val="008A7598"/>
    <w:rsid w:val="008B3E92"/>
    <w:rsid w:val="008B7726"/>
    <w:rsid w:val="008E1B9C"/>
    <w:rsid w:val="008E1D2B"/>
    <w:rsid w:val="008F1AEF"/>
    <w:rsid w:val="008F2049"/>
    <w:rsid w:val="008F44AE"/>
    <w:rsid w:val="00925519"/>
    <w:rsid w:val="00925C15"/>
    <w:rsid w:val="00926704"/>
    <w:rsid w:val="00933917"/>
    <w:rsid w:val="00946F45"/>
    <w:rsid w:val="00954C45"/>
    <w:rsid w:val="00963FB0"/>
    <w:rsid w:val="00964739"/>
    <w:rsid w:val="009659A5"/>
    <w:rsid w:val="00972BEA"/>
    <w:rsid w:val="00994F9C"/>
    <w:rsid w:val="009D54EE"/>
    <w:rsid w:val="009D5FBC"/>
    <w:rsid w:val="009D6F10"/>
    <w:rsid w:val="009E24F8"/>
    <w:rsid w:val="009F5F30"/>
    <w:rsid w:val="00A61C95"/>
    <w:rsid w:val="00A81A6D"/>
    <w:rsid w:val="00A81C74"/>
    <w:rsid w:val="00A82B87"/>
    <w:rsid w:val="00A91694"/>
    <w:rsid w:val="00A94043"/>
    <w:rsid w:val="00A96061"/>
    <w:rsid w:val="00AD28E2"/>
    <w:rsid w:val="00AE3C22"/>
    <w:rsid w:val="00AE755D"/>
    <w:rsid w:val="00B34FF3"/>
    <w:rsid w:val="00B353CA"/>
    <w:rsid w:val="00B57C4A"/>
    <w:rsid w:val="00B66AB5"/>
    <w:rsid w:val="00B714C4"/>
    <w:rsid w:val="00BC03DD"/>
    <w:rsid w:val="00BD79B8"/>
    <w:rsid w:val="00BE2806"/>
    <w:rsid w:val="00BF4DFA"/>
    <w:rsid w:val="00C20A74"/>
    <w:rsid w:val="00C6131C"/>
    <w:rsid w:val="00C7761F"/>
    <w:rsid w:val="00C8686E"/>
    <w:rsid w:val="00CA0D59"/>
    <w:rsid w:val="00CA1BB2"/>
    <w:rsid w:val="00CA37F8"/>
    <w:rsid w:val="00CB1C89"/>
    <w:rsid w:val="00CB6682"/>
    <w:rsid w:val="00CC06E9"/>
    <w:rsid w:val="00D31D50"/>
    <w:rsid w:val="00D42501"/>
    <w:rsid w:val="00D535AC"/>
    <w:rsid w:val="00D6043A"/>
    <w:rsid w:val="00D61A44"/>
    <w:rsid w:val="00D76CCC"/>
    <w:rsid w:val="00D82C8D"/>
    <w:rsid w:val="00D95106"/>
    <w:rsid w:val="00DB03E9"/>
    <w:rsid w:val="00DE6822"/>
    <w:rsid w:val="00DF5E78"/>
    <w:rsid w:val="00E01959"/>
    <w:rsid w:val="00E04326"/>
    <w:rsid w:val="00E2346C"/>
    <w:rsid w:val="00E24502"/>
    <w:rsid w:val="00E30870"/>
    <w:rsid w:val="00E36E51"/>
    <w:rsid w:val="00E4070C"/>
    <w:rsid w:val="00E473DC"/>
    <w:rsid w:val="00E47A08"/>
    <w:rsid w:val="00E63217"/>
    <w:rsid w:val="00E643D4"/>
    <w:rsid w:val="00E71ECF"/>
    <w:rsid w:val="00E7218B"/>
    <w:rsid w:val="00E76FBE"/>
    <w:rsid w:val="00E774AA"/>
    <w:rsid w:val="00EB3EBE"/>
    <w:rsid w:val="00EB6888"/>
    <w:rsid w:val="00ED3309"/>
    <w:rsid w:val="00EE11C1"/>
    <w:rsid w:val="00EE4895"/>
    <w:rsid w:val="00EE6FEE"/>
    <w:rsid w:val="00F00805"/>
    <w:rsid w:val="00F04D1F"/>
    <w:rsid w:val="00F1393C"/>
    <w:rsid w:val="00F378E4"/>
    <w:rsid w:val="00F50079"/>
    <w:rsid w:val="00F51986"/>
    <w:rsid w:val="00F7308D"/>
    <w:rsid w:val="00F81068"/>
    <w:rsid w:val="00F950DA"/>
    <w:rsid w:val="00FA23F7"/>
    <w:rsid w:val="00FA35F3"/>
    <w:rsid w:val="00FB205F"/>
    <w:rsid w:val="00FB2A94"/>
    <w:rsid w:val="00FC4CDB"/>
    <w:rsid w:val="00FC7A49"/>
    <w:rsid w:val="00FD55FB"/>
    <w:rsid w:val="00FF56D0"/>
    <w:rsid w:val="058C2F43"/>
    <w:rsid w:val="33630475"/>
    <w:rsid w:val="33653978"/>
    <w:rsid w:val="48784C33"/>
    <w:rsid w:val="60210C4F"/>
    <w:rsid w:val="63FC65AF"/>
    <w:rsid w:val="66E739C3"/>
    <w:rsid w:val="75A61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p15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1">
    <w:name w:val="p0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2">
    <w:name w:val="vsbcontent_start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3">
    <w:name w:val="页眉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basedOn w:val="6"/>
    <w:link w:val="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批注框文本 Char"/>
    <w:basedOn w:val="6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6">
    <w:name w:val="封面标准名称"/>
    <w:basedOn w:val="1"/>
    <w:qFormat/>
    <w:uiPriority w:val="99"/>
    <w:pPr>
      <w:widowControl w:val="0"/>
      <w:adjustRightInd/>
      <w:snapToGrid/>
      <w:spacing w:after="0" w:line="680" w:lineRule="exact"/>
      <w:jc w:val="center"/>
    </w:pPr>
    <w:rPr>
      <w:rFonts w:ascii="黑体" w:hAnsi="Times New Roman" w:eastAsia="黑体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7D8FC-4955-46EB-B3CE-C2AD7FB35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www.deepin.org</Company>
  <Pages>3</Pages>
  <Words>185</Words>
  <Characters>1056</Characters>
  <Lines>8</Lines>
  <Paragraphs>2</Paragraphs>
  <ScaleCrop>false</ScaleCrop>
  <LinksUpToDate>false</LinksUpToDate>
  <CharactersWithSpaces>1239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2017-12-07T01:47:00Z</dcterms:created>
  <dc:creator>Administrator</dc:creator>
  <cp:lastModifiedBy>睿赢</cp:lastModifiedBy>
  <cp:lastPrinted>2017-12-08T17:16:00Z</cp:lastPrinted>
  <dcterms:modified xsi:type="dcterms:W3CDTF">2017-12-19T07:36:03Z</dcterms:modified>
  <dc:title>关于印发《枣庄市事业单位业务范围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